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52" w:rsidRDefault="00AA6A52">
      <w:pPr>
        <w:pStyle w:val="BodyTextIndent"/>
        <w:ind w:left="360" w:firstLine="0"/>
      </w:pPr>
    </w:p>
    <w:p w:rsidR="00591133" w:rsidRPr="00591133" w:rsidRDefault="00591133" w:rsidP="00591133">
      <w:pPr>
        <w:pStyle w:val="BodyTextIndent"/>
        <w:ind w:left="360" w:firstLine="0"/>
        <w:jc w:val="center"/>
        <w:rPr>
          <w:b/>
          <w:sz w:val="36"/>
          <w:szCs w:val="28"/>
        </w:rPr>
      </w:pPr>
      <w:r w:rsidRPr="00591133">
        <w:rPr>
          <w:b/>
          <w:sz w:val="36"/>
          <w:szCs w:val="28"/>
        </w:rPr>
        <w:t>Silencing the Cosmic Ray – PAN 2012 Proposal</w:t>
      </w:r>
    </w:p>
    <w:p w:rsidR="00591133" w:rsidRPr="00591133" w:rsidRDefault="00591133" w:rsidP="00591133">
      <w:pPr>
        <w:pStyle w:val="BodyTextIndent"/>
        <w:ind w:left="360" w:firstLine="0"/>
        <w:jc w:val="center"/>
        <w:rPr>
          <w:b/>
          <w:sz w:val="28"/>
          <w:szCs w:val="28"/>
        </w:rPr>
      </w:pPr>
      <w:r>
        <w:rPr>
          <w:b/>
          <w:sz w:val="28"/>
          <w:szCs w:val="28"/>
        </w:rPr>
        <w:t>By Laurie Blevins, Matt Lewis, Andrew Cochrane and Lars Londot</w:t>
      </w:r>
    </w:p>
    <w:p w:rsidR="00591133" w:rsidRPr="00591133" w:rsidRDefault="00591133" w:rsidP="00591133">
      <w:pPr>
        <w:pStyle w:val="BodyTextIndent"/>
        <w:ind w:hanging="5040"/>
        <w:rPr>
          <w:sz w:val="28"/>
          <w:szCs w:val="28"/>
        </w:rPr>
      </w:pPr>
    </w:p>
    <w:p w:rsidR="00AA6A52" w:rsidRPr="00591133" w:rsidRDefault="00AA6A52">
      <w:pPr>
        <w:pStyle w:val="Heading3"/>
        <w:numPr>
          <w:ilvl w:val="0"/>
          <w:numId w:val="3"/>
        </w:numPr>
        <w:spacing w:line="360" w:lineRule="auto"/>
        <w:rPr>
          <w:b/>
          <w:sz w:val="24"/>
        </w:rPr>
      </w:pPr>
      <w:r w:rsidRPr="00591133">
        <w:rPr>
          <w:b/>
          <w:sz w:val="24"/>
        </w:rPr>
        <w:t>Physics Justification</w:t>
      </w:r>
    </w:p>
    <w:p w:rsidR="00AA6A52" w:rsidRPr="00591133" w:rsidRDefault="006430D3" w:rsidP="00591133">
      <w:pPr>
        <w:pStyle w:val="BodyText"/>
        <w:spacing w:line="480" w:lineRule="auto"/>
        <w:ind w:left="540"/>
        <w:rPr>
          <w:sz w:val="24"/>
        </w:rPr>
      </w:pPr>
      <w:r w:rsidRPr="00591133">
        <w:rPr>
          <w:sz w:val="24"/>
        </w:rPr>
        <w:t>Cosmic ray “noise” is all aro</w:t>
      </w:r>
      <w:r w:rsidR="003D2079" w:rsidRPr="00591133">
        <w:rPr>
          <w:sz w:val="24"/>
        </w:rPr>
        <w:t xml:space="preserve">und and going through us every second of every minute of every day.  Even though cosmic rays are not a threat to us, they can be annoying to nuclear physicists that are conducting experiments with particle/radiation capture.  Because of this fact, a new </w:t>
      </w:r>
      <w:r w:rsidR="00F72ADD" w:rsidRPr="00591133">
        <w:rPr>
          <w:sz w:val="24"/>
        </w:rPr>
        <w:t xml:space="preserve">research facility is being built 1 mile underground to be able to shield all possible cosmic ray “noise” that may skew the results of the experimentation.     </w:t>
      </w:r>
      <w:hyperlink r:id="rId7" w:history="1">
        <w:r w:rsidR="00F72ADD" w:rsidRPr="00591133">
          <w:rPr>
            <w:rStyle w:val="Hyperlink"/>
            <w:sz w:val="24"/>
            <w:lang w:val="en-US" w:eastAsia="hi-IN" w:bidi="hi-IN"/>
          </w:rPr>
          <w:t>http://dusel.org/</w:t>
        </w:r>
      </w:hyperlink>
      <w:r w:rsidR="00F72ADD" w:rsidRPr="00591133">
        <w:rPr>
          <w:sz w:val="24"/>
        </w:rPr>
        <w:t xml:space="preserve">     Since we cannot go underground that far here, we would like to explore the cosmic ray shielding effect of the concrete in the Shaw Parking Garage.  We will measure the effect of each level of the garage down to the sub-ground level as to how m</w:t>
      </w:r>
      <w:r w:rsidR="00591133">
        <w:rPr>
          <w:sz w:val="24"/>
        </w:rPr>
        <w:t>uch cosmic radiation is blocked.</w:t>
      </w:r>
    </w:p>
    <w:p w:rsidR="00591133" w:rsidRPr="00591133" w:rsidRDefault="00AA6A52" w:rsidP="00591133">
      <w:pPr>
        <w:pStyle w:val="Heading3"/>
        <w:numPr>
          <w:ilvl w:val="0"/>
          <w:numId w:val="3"/>
        </w:numPr>
        <w:spacing w:line="360" w:lineRule="auto"/>
        <w:ind w:left="547" w:hanging="187"/>
        <w:rPr>
          <w:b/>
          <w:sz w:val="24"/>
        </w:rPr>
      </w:pPr>
      <w:r w:rsidRPr="00591133">
        <w:rPr>
          <w:b/>
          <w:sz w:val="24"/>
        </w:rPr>
        <w:t>Goals of the proposed experiment</w:t>
      </w:r>
    </w:p>
    <w:p w:rsidR="00591133" w:rsidRDefault="006430D3" w:rsidP="00591133">
      <w:pPr>
        <w:pStyle w:val="Heading3"/>
        <w:numPr>
          <w:ilvl w:val="0"/>
          <w:numId w:val="0"/>
        </w:numPr>
        <w:spacing w:line="360" w:lineRule="auto"/>
        <w:ind w:left="547"/>
        <w:rPr>
          <w:sz w:val="24"/>
        </w:rPr>
      </w:pPr>
      <w:r w:rsidRPr="00591133">
        <w:rPr>
          <w:sz w:val="24"/>
        </w:rPr>
        <w:t>Our goal is to determine how much energy can be absorbed by the air and concrete levels of a parking garage.  If a material of density of 1 g/cm</w:t>
      </w:r>
      <w:r w:rsidRPr="00591133">
        <w:rPr>
          <w:sz w:val="24"/>
          <w:vertAlign w:val="superscript"/>
        </w:rPr>
        <w:t>3</w:t>
      </w:r>
      <w:r w:rsidRPr="00591133">
        <w:rPr>
          <w:sz w:val="24"/>
        </w:rPr>
        <w:t xml:space="preserve"> can absorb on average 1.5 MeV/ cm, we should expect concrete to absorb 3 times as much </w:t>
      </w:r>
      <w:r w:rsidR="00591133" w:rsidRPr="00591133">
        <w:rPr>
          <w:sz w:val="24"/>
        </w:rPr>
        <w:t xml:space="preserve">energy </w:t>
      </w:r>
      <w:r w:rsidRPr="00591133">
        <w:rPr>
          <w:sz w:val="24"/>
        </w:rPr>
        <w:t xml:space="preserve">per cm. </w:t>
      </w:r>
      <w:r w:rsidR="00211BE6" w:rsidRPr="00591133">
        <w:rPr>
          <w:sz w:val="24"/>
        </w:rPr>
        <w:t xml:space="preserve"> How effective concrete is as a shielding material and what thickness of concrete is effective is information that </w:t>
      </w:r>
      <w:r w:rsidRPr="00591133">
        <w:rPr>
          <w:sz w:val="24"/>
        </w:rPr>
        <w:t xml:space="preserve">scientists </w:t>
      </w:r>
      <w:r w:rsidR="00211BE6" w:rsidRPr="00591133">
        <w:rPr>
          <w:sz w:val="24"/>
        </w:rPr>
        <w:t xml:space="preserve">could use when they </w:t>
      </w:r>
      <w:r w:rsidRPr="00591133">
        <w:rPr>
          <w:sz w:val="24"/>
        </w:rPr>
        <w:t xml:space="preserve">need to find a place to conduct experiments that shields cosmic ray “noise”.   Or, in layman’s terms, "the more thick stuff that is above me, the less I'll get zapped by cosmic rays"---anonymous.  </w:t>
      </w:r>
      <w:r w:rsidR="00591133" w:rsidRPr="00591133">
        <w:rPr>
          <w:sz w:val="24"/>
        </w:rPr>
        <w:t xml:space="preserve"> </w:t>
      </w:r>
    </w:p>
    <w:p w:rsidR="00591133" w:rsidRDefault="00AA6A52" w:rsidP="00591133">
      <w:pPr>
        <w:pStyle w:val="Heading3"/>
        <w:numPr>
          <w:ilvl w:val="0"/>
          <w:numId w:val="3"/>
        </w:numPr>
        <w:spacing w:line="360" w:lineRule="auto"/>
        <w:rPr>
          <w:b/>
          <w:sz w:val="24"/>
        </w:rPr>
      </w:pPr>
      <w:r w:rsidRPr="00591133">
        <w:rPr>
          <w:b/>
          <w:sz w:val="24"/>
        </w:rPr>
        <w:t>Experimental Detail</w:t>
      </w:r>
    </w:p>
    <w:p w:rsidR="00591133" w:rsidRDefault="008F2303" w:rsidP="00591133">
      <w:pPr>
        <w:pStyle w:val="BodyText"/>
        <w:ind w:left="540"/>
        <w:rPr>
          <w:b/>
          <w:sz w:val="24"/>
        </w:rPr>
      </w:pPr>
      <w:r>
        <w:rPr>
          <w:b/>
          <w:sz w:val="24"/>
        </w:rPr>
        <w:t>To be measured:</w:t>
      </w:r>
    </w:p>
    <w:p w:rsidR="008F2303" w:rsidRDefault="008F2303" w:rsidP="00591133">
      <w:pPr>
        <w:pStyle w:val="BodyText"/>
        <w:ind w:left="540"/>
        <w:rPr>
          <w:sz w:val="24"/>
        </w:rPr>
      </w:pPr>
      <w:r>
        <w:rPr>
          <w:i/>
          <w:sz w:val="24"/>
          <w:u w:val="single"/>
        </w:rPr>
        <w:t>Control</w:t>
      </w:r>
      <w:r>
        <w:rPr>
          <w:sz w:val="24"/>
          <w:u w:val="single"/>
        </w:rPr>
        <w:t>- Background cosmic rays –</w:t>
      </w:r>
    </w:p>
    <w:p w:rsidR="008F2303" w:rsidRDefault="008F2303" w:rsidP="00591133">
      <w:pPr>
        <w:pStyle w:val="BodyText"/>
        <w:ind w:left="540"/>
        <w:rPr>
          <w:sz w:val="24"/>
        </w:rPr>
      </w:pPr>
      <w:r>
        <w:rPr>
          <w:sz w:val="24"/>
        </w:rPr>
        <w:tab/>
      </w:r>
      <w:r>
        <w:rPr>
          <w:sz w:val="24"/>
        </w:rPr>
        <w:tab/>
        <w:t>To measure the cosmic rays we will:</w:t>
      </w:r>
    </w:p>
    <w:p w:rsidR="008F2303" w:rsidRDefault="008F2303" w:rsidP="008F2303">
      <w:pPr>
        <w:pStyle w:val="BodyText"/>
        <w:numPr>
          <w:ilvl w:val="0"/>
          <w:numId w:val="5"/>
        </w:numPr>
        <w:rPr>
          <w:sz w:val="24"/>
        </w:rPr>
      </w:pPr>
      <w:r>
        <w:rPr>
          <w:sz w:val="24"/>
        </w:rPr>
        <w:t>Set up the CRD outside next to the Shaw parking garage on the lawn (fig 4)  Scintillators will be oriented parallel to the ground.</w:t>
      </w:r>
    </w:p>
    <w:p w:rsidR="008F2303" w:rsidRDefault="008F2303" w:rsidP="008F2303">
      <w:pPr>
        <w:pStyle w:val="BodyText"/>
        <w:ind w:left="1080" w:firstLine="720"/>
        <w:rPr>
          <w:sz w:val="24"/>
        </w:rPr>
      </w:pPr>
      <w:r w:rsidRPr="008F2303">
        <w:rPr>
          <w:sz w:val="24"/>
        </w:rPr>
        <w:t>*</w:t>
      </w:r>
      <w:r>
        <w:rPr>
          <w:sz w:val="24"/>
        </w:rPr>
        <w:t xml:space="preserve"> The placement of the CRD on the grass will reduce the chance of stray rays coming from any concrete below.</w:t>
      </w:r>
    </w:p>
    <w:p w:rsidR="008F2303" w:rsidRPr="008F2303" w:rsidRDefault="008F2303" w:rsidP="008F2303">
      <w:pPr>
        <w:pStyle w:val="BodyText"/>
        <w:numPr>
          <w:ilvl w:val="0"/>
          <w:numId w:val="5"/>
        </w:numPr>
        <w:rPr>
          <w:sz w:val="24"/>
        </w:rPr>
      </w:pPr>
      <w:r>
        <w:rPr>
          <w:sz w:val="24"/>
        </w:rPr>
        <w:lastRenderedPageBreak/>
        <w:t>3 trials will be taken each lasting 3 minutes, the CRD will be set for coincidence and infinite count.</w:t>
      </w:r>
    </w:p>
    <w:p w:rsidR="00591133" w:rsidRDefault="00591133" w:rsidP="00591133">
      <w:pPr>
        <w:pStyle w:val="BodyText"/>
        <w:ind w:left="540"/>
        <w:rPr>
          <w:u w:val="single"/>
        </w:rPr>
      </w:pPr>
    </w:p>
    <w:p w:rsidR="008F2303" w:rsidRDefault="008F2303" w:rsidP="00591133">
      <w:pPr>
        <w:pStyle w:val="BodyText"/>
        <w:ind w:left="540"/>
        <w:rPr>
          <w:sz w:val="24"/>
        </w:rPr>
      </w:pPr>
      <w:r w:rsidRPr="008F2303">
        <w:rPr>
          <w:sz w:val="24"/>
          <w:u w:val="single"/>
        </w:rPr>
        <w:t>Concrete radiation</w:t>
      </w:r>
      <w:r>
        <w:rPr>
          <w:sz w:val="24"/>
          <w:u w:val="single"/>
        </w:rPr>
        <w:t xml:space="preserve"> – </w:t>
      </w:r>
    </w:p>
    <w:p w:rsidR="008F2303" w:rsidRDefault="008F2303" w:rsidP="00591133">
      <w:pPr>
        <w:pStyle w:val="BodyText"/>
        <w:ind w:left="540"/>
        <w:rPr>
          <w:sz w:val="24"/>
        </w:rPr>
      </w:pPr>
      <w:r>
        <w:rPr>
          <w:sz w:val="24"/>
        </w:rPr>
        <w:tab/>
      </w:r>
      <w:r>
        <w:rPr>
          <w:sz w:val="24"/>
        </w:rPr>
        <w:tab/>
        <w:t>To measure the amount of rays eminating from concrete we will:</w:t>
      </w:r>
    </w:p>
    <w:p w:rsidR="008F2303" w:rsidRDefault="008F2303" w:rsidP="008F2303">
      <w:pPr>
        <w:pStyle w:val="BodyText"/>
        <w:numPr>
          <w:ilvl w:val="0"/>
          <w:numId w:val="7"/>
        </w:numPr>
        <w:rPr>
          <w:sz w:val="24"/>
        </w:rPr>
      </w:pPr>
      <w:r>
        <w:rPr>
          <w:sz w:val="24"/>
        </w:rPr>
        <w:t>Set the CRD so the scintillators are parallel to the concrete wall on the top floor of the parking garage (fig. 5)</w:t>
      </w:r>
    </w:p>
    <w:p w:rsidR="008F2303" w:rsidRDefault="008F2303" w:rsidP="008F2303">
      <w:pPr>
        <w:pStyle w:val="BodyText"/>
        <w:numPr>
          <w:ilvl w:val="0"/>
          <w:numId w:val="7"/>
        </w:numPr>
        <w:rPr>
          <w:sz w:val="24"/>
        </w:rPr>
      </w:pPr>
      <w:r>
        <w:rPr>
          <w:sz w:val="24"/>
        </w:rPr>
        <w:t>3 trials will be taken each lasting 3 minutes, the CRD will be set for coincidence and infinite count.</w:t>
      </w:r>
    </w:p>
    <w:p w:rsidR="008F2303" w:rsidRDefault="008F2303" w:rsidP="008F2303">
      <w:pPr>
        <w:pStyle w:val="BodyText"/>
        <w:rPr>
          <w:sz w:val="24"/>
        </w:rPr>
      </w:pPr>
    </w:p>
    <w:p w:rsidR="008F2303" w:rsidRDefault="008F2303" w:rsidP="008F2303">
      <w:pPr>
        <w:pStyle w:val="BodyText"/>
        <w:ind w:left="360"/>
        <w:rPr>
          <w:sz w:val="24"/>
        </w:rPr>
      </w:pPr>
      <w:r>
        <w:rPr>
          <w:sz w:val="24"/>
          <w:u w:val="single"/>
        </w:rPr>
        <w:t>Amount of Shielding –</w:t>
      </w:r>
    </w:p>
    <w:p w:rsidR="008F2303" w:rsidRDefault="008F2303" w:rsidP="008F2303">
      <w:pPr>
        <w:pStyle w:val="BodyText"/>
        <w:ind w:left="360"/>
        <w:rPr>
          <w:sz w:val="24"/>
        </w:rPr>
      </w:pPr>
      <w:r>
        <w:rPr>
          <w:sz w:val="24"/>
        </w:rPr>
        <w:tab/>
      </w:r>
      <w:r>
        <w:rPr>
          <w:sz w:val="24"/>
        </w:rPr>
        <w:tab/>
        <w:t>To measure the amount of shielding we will:</w:t>
      </w:r>
    </w:p>
    <w:p w:rsidR="008F2303" w:rsidRDefault="008F2303" w:rsidP="008F2303">
      <w:pPr>
        <w:pStyle w:val="BodyText"/>
        <w:numPr>
          <w:ilvl w:val="0"/>
          <w:numId w:val="8"/>
        </w:numPr>
        <w:rPr>
          <w:sz w:val="24"/>
        </w:rPr>
      </w:pPr>
      <w:r>
        <w:rPr>
          <w:sz w:val="24"/>
        </w:rPr>
        <w:t>Manually measure the thickness of the concrete floor in the stairwell between two floors.  (fig 3)  Assuming that each floor has a uniform thickness</w:t>
      </w:r>
      <w:r w:rsidR="00EF6B77">
        <w:rPr>
          <w:sz w:val="24"/>
        </w:rPr>
        <w:t>.</w:t>
      </w:r>
    </w:p>
    <w:p w:rsidR="00EF6B77" w:rsidRDefault="00EF6B77" w:rsidP="00EF6B77">
      <w:pPr>
        <w:pStyle w:val="BodyText"/>
        <w:ind w:left="1800"/>
        <w:rPr>
          <w:sz w:val="24"/>
        </w:rPr>
      </w:pPr>
      <w:r>
        <w:rPr>
          <w:sz w:val="24"/>
        </w:rPr>
        <w:t>*if we cannot acquire the thickness in the stairwell we will use a side wall as an estimate.</w:t>
      </w:r>
    </w:p>
    <w:p w:rsidR="00EF6B77" w:rsidRDefault="00EF6B77" w:rsidP="008F2303">
      <w:pPr>
        <w:pStyle w:val="BodyText"/>
        <w:numPr>
          <w:ilvl w:val="0"/>
          <w:numId w:val="8"/>
        </w:numPr>
        <w:rPr>
          <w:sz w:val="24"/>
        </w:rPr>
      </w:pPr>
      <w:r>
        <w:rPr>
          <w:sz w:val="24"/>
        </w:rPr>
        <w:t>3 trials will be taken each lasting 3 minutes, the CRD will be set for coincidence and infinite count.</w:t>
      </w:r>
    </w:p>
    <w:p w:rsidR="00EF6B77" w:rsidRDefault="00EF6B77" w:rsidP="00EF6B77">
      <w:pPr>
        <w:pStyle w:val="BodyText"/>
        <w:rPr>
          <w:sz w:val="24"/>
        </w:rPr>
      </w:pPr>
    </w:p>
    <w:p w:rsidR="00B46334" w:rsidRDefault="00EF6B77" w:rsidP="00EF6B77">
      <w:pPr>
        <w:pStyle w:val="BodyText"/>
        <w:ind w:left="360"/>
        <w:rPr>
          <w:sz w:val="24"/>
          <w:u w:val="single"/>
        </w:rPr>
      </w:pPr>
      <w:r>
        <w:rPr>
          <w:sz w:val="24"/>
          <w:u w:val="single"/>
        </w:rPr>
        <w:t>Experimental Data –</w:t>
      </w:r>
    </w:p>
    <w:p w:rsidR="00EF6B77" w:rsidRDefault="00EF6B77" w:rsidP="00EF6B77">
      <w:pPr>
        <w:pStyle w:val="BodyText"/>
        <w:ind w:left="360"/>
        <w:rPr>
          <w:sz w:val="24"/>
        </w:rPr>
      </w:pPr>
      <w:r>
        <w:rPr>
          <w:sz w:val="24"/>
        </w:rPr>
        <w:tab/>
      </w:r>
      <w:r>
        <w:rPr>
          <w:sz w:val="24"/>
        </w:rPr>
        <w:tab/>
        <w:t>To gather our experimental data we will:</w:t>
      </w:r>
    </w:p>
    <w:p w:rsidR="00EF6B77" w:rsidRDefault="00EF6B77" w:rsidP="00EF6B77">
      <w:pPr>
        <w:pStyle w:val="BodyText"/>
        <w:numPr>
          <w:ilvl w:val="0"/>
          <w:numId w:val="9"/>
        </w:numPr>
        <w:rPr>
          <w:sz w:val="24"/>
        </w:rPr>
      </w:pPr>
      <w:r>
        <w:rPr>
          <w:sz w:val="24"/>
        </w:rPr>
        <w:t xml:space="preserve"> Set up the CRD in the SW corner of the garage on each floor of the garage.  The CRD will be oriented so the scintillators are parallel to the floor.</w:t>
      </w:r>
    </w:p>
    <w:p w:rsidR="00EF6B77" w:rsidRPr="00EF6B77" w:rsidRDefault="00EF6B77" w:rsidP="00EF6B77">
      <w:pPr>
        <w:pStyle w:val="BodyText"/>
        <w:numPr>
          <w:ilvl w:val="0"/>
          <w:numId w:val="9"/>
        </w:numPr>
        <w:rPr>
          <w:sz w:val="24"/>
        </w:rPr>
      </w:pPr>
      <w:r>
        <w:rPr>
          <w:sz w:val="24"/>
        </w:rPr>
        <w:t>3 trials will be taken each lasting 3 minutes, the CRD will be set for coincidence and infinite count.</w:t>
      </w:r>
    </w:p>
    <w:p w:rsidR="00AA6A52" w:rsidRPr="008F2303" w:rsidRDefault="00AA6A52">
      <w:pPr>
        <w:pStyle w:val="Heading3"/>
        <w:spacing w:line="360" w:lineRule="auto"/>
        <w:rPr>
          <w:sz w:val="24"/>
        </w:rPr>
      </w:pPr>
    </w:p>
    <w:p w:rsidR="00AA6A52" w:rsidRPr="00591133" w:rsidRDefault="00AA6A52">
      <w:pPr>
        <w:pStyle w:val="Heading3"/>
        <w:numPr>
          <w:ilvl w:val="0"/>
          <w:numId w:val="3"/>
        </w:numPr>
        <w:spacing w:line="360" w:lineRule="auto"/>
        <w:rPr>
          <w:b/>
          <w:sz w:val="24"/>
        </w:rPr>
      </w:pPr>
      <w:r w:rsidRPr="00591133">
        <w:rPr>
          <w:b/>
          <w:sz w:val="24"/>
        </w:rPr>
        <w:t>Supplemental Information (Figures, Tables, References, etc., including one figure that depicts the layout of the experimental apparatus)</w:t>
      </w:r>
    </w:p>
    <w:p w:rsidR="00C20F1C" w:rsidRDefault="00C20F1C" w:rsidP="00C20F1C">
      <w:pPr>
        <w:pStyle w:val="BodyText"/>
      </w:pPr>
    </w:p>
    <w:p w:rsidR="00C20F1C" w:rsidRDefault="009D0986" w:rsidP="00C20F1C">
      <w:pPr>
        <w:pStyle w:val="BodyText"/>
      </w:pPr>
      <w:r>
        <w:rPr>
          <w:noProof/>
          <w:lang w:eastAsia="en-US" w:bidi="ar-SA"/>
        </w:rPr>
        <w:drawing>
          <wp:inline distT="0" distB="0" distL="0" distR="0">
            <wp:extent cx="2209800" cy="1657350"/>
            <wp:effectExtent l="19050" t="0" r="0" b="0"/>
            <wp:docPr id="1" name="Picture 1" descr="parking 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king garage"/>
                    <pic:cNvPicPr>
                      <a:picLocks noChangeAspect="1" noChangeArrowheads="1"/>
                    </pic:cNvPicPr>
                  </pic:nvPicPr>
                  <pic:blipFill>
                    <a:blip r:embed="rId8" cstate="print"/>
                    <a:srcRect/>
                    <a:stretch>
                      <a:fillRect/>
                    </a:stretch>
                  </pic:blipFill>
                  <pic:spPr bwMode="auto">
                    <a:xfrm>
                      <a:off x="0" y="0"/>
                      <a:ext cx="2209800" cy="1657350"/>
                    </a:xfrm>
                    <a:prstGeom prst="rect">
                      <a:avLst/>
                    </a:prstGeom>
                    <a:noFill/>
                    <a:ln w="9525">
                      <a:noFill/>
                      <a:miter lim="800000"/>
                      <a:headEnd/>
                      <a:tailEnd/>
                    </a:ln>
                  </pic:spPr>
                </pic:pic>
              </a:graphicData>
            </a:graphic>
          </wp:inline>
        </w:drawing>
      </w:r>
      <w:r w:rsidR="00C20F1C">
        <w:tab/>
      </w:r>
      <w:r w:rsidR="00C20F1C">
        <w:tab/>
      </w:r>
      <w:r w:rsidR="00C20F1C">
        <w:tab/>
      </w:r>
      <w:r w:rsidR="00C20F1C">
        <w:tab/>
      </w:r>
      <w:r>
        <w:rPr>
          <w:noProof/>
          <w:lang w:eastAsia="en-US" w:bidi="ar-SA"/>
        </w:rPr>
        <w:drawing>
          <wp:inline distT="0" distB="0" distL="0" distR="0">
            <wp:extent cx="2247900" cy="1685925"/>
            <wp:effectExtent l="19050" t="0" r="0" b="0"/>
            <wp:docPr id="2" name="Picture 2" descr="concrete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rete wall"/>
                    <pic:cNvPicPr>
                      <a:picLocks noChangeAspect="1" noChangeArrowheads="1"/>
                    </pic:cNvPicPr>
                  </pic:nvPicPr>
                  <pic:blipFill>
                    <a:blip r:embed="rId9" cstate="print"/>
                    <a:srcRect/>
                    <a:stretch>
                      <a:fillRect/>
                    </a:stretch>
                  </pic:blipFill>
                  <pic:spPr bwMode="auto">
                    <a:xfrm>
                      <a:off x="0" y="0"/>
                      <a:ext cx="2247900" cy="1685925"/>
                    </a:xfrm>
                    <a:prstGeom prst="rect">
                      <a:avLst/>
                    </a:prstGeom>
                    <a:noFill/>
                    <a:ln w="9525">
                      <a:noFill/>
                      <a:miter lim="800000"/>
                      <a:headEnd/>
                      <a:tailEnd/>
                    </a:ln>
                  </pic:spPr>
                </pic:pic>
              </a:graphicData>
            </a:graphic>
          </wp:inline>
        </w:drawing>
      </w:r>
    </w:p>
    <w:p w:rsidR="00C20F1C" w:rsidRDefault="00C20F1C" w:rsidP="00C20F1C">
      <w:pPr>
        <w:pStyle w:val="BodyText"/>
      </w:pPr>
      <w:r>
        <w:t>Fig. 1 – Shaw Road Parking Garage</w:t>
      </w:r>
      <w:r>
        <w:tab/>
      </w:r>
      <w:r>
        <w:tab/>
      </w:r>
      <w:r>
        <w:tab/>
      </w:r>
      <w:r>
        <w:tab/>
        <w:t>Fig. 2 – Concrete wall in Shaw Road P.G.</w:t>
      </w:r>
    </w:p>
    <w:p w:rsidR="00C20F1C" w:rsidRDefault="00C20F1C" w:rsidP="00C20F1C">
      <w:pPr>
        <w:pStyle w:val="BodyText"/>
      </w:pPr>
    </w:p>
    <w:p w:rsidR="00C20F1C" w:rsidRPr="00C20F1C" w:rsidRDefault="009D0986" w:rsidP="00C20F1C">
      <w:pPr>
        <w:pStyle w:val="BodyText"/>
      </w:pPr>
      <w:r>
        <w:rPr>
          <w:noProof/>
          <w:lang w:eastAsia="en-US" w:bidi="ar-SA"/>
        </w:rPr>
        <w:lastRenderedPageBreak/>
        <w:drawing>
          <wp:inline distT="0" distB="0" distL="0" distR="0">
            <wp:extent cx="2266950" cy="1714500"/>
            <wp:effectExtent l="19050" t="0" r="0" b="0"/>
            <wp:docPr id="3" name="Picture 3" descr="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irs"/>
                    <pic:cNvPicPr>
                      <a:picLocks noChangeAspect="1" noChangeArrowheads="1"/>
                    </pic:cNvPicPr>
                  </pic:nvPicPr>
                  <pic:blipFill>
                    <a:blip r:embed="rId10" cstate="print"/>
                    <a:srcRect/>
                    <a:stretch>
                      <a:fillRect/>
                    </a:stretch>
                  </pic:blipFill>
                  <pic:spPr bwMode="auto">
                    <a:xfrm>
                      <a:off x="0" y="0"/>
                      <a:ext cx="2266950" cy="1714500"/>
                    </a:xfrm>
                    <a:prstGeom prst="rect">
                      <a:avLst/>
                    </a:prstGeom>
                    <a:noFill/>
                    <a:ln w="9525">
                      <a:noFill/>
                      <a:miter lim="800000"/>
                      <a:headEnd/>
                      <a:tailEnd/>
                    </a:ln>
                  </pic:spPr>
                </pic:pic>
              </a:graphicData>
            </a:graphic>
          </wp:inline>
        </w:drawing>
      </w:r>
      <w:r w:rsidR="00591133">
        <w:tab/>
      </w:r>
      <w:r w:rsidR="00591133">
        <w:tab/>
      </w:r>
      <w:r w:rsidR="00591133">
        <w:tab/>
      </w:r>
      <w:r>
        <w:rPr>
          <w:noProof/>
          <w:lang w:eastAsia="en-US" w:bidi="ar-SA"/>
        </w:rPr>
        <w:drawing>
          <wp:inline distT="0" distB="0" distL="0" distR="0">
            <wp:extent cx="2219325" cy="1666875"/>
            <wp:effectExtent l="19050" t="0" r="9525" b="0"/>
            <wp:docPr id="4" name="Picture 4" descr="loca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tion 5"/>
                    <pic:cNvPicPr>
                      <a:picLocks noChangeAspect="1" noChangeArrowheads="1"/>
                    </pic:cNvPicPr>
                  </pic:nvPicPr>
                  <pic:blipFill>
                    <a:blip r:embed="rId11" cstate="print"/>
                    <a:srcRect/>
                    <a:stretch>
                      <a:fillRect/>
                    </a:stretch>
                  </pic:blipFill>
                  <pic:spPr bwMode="auto">
                    <a:xfrm>
                      <a:off x="0" y="0"/>
                      <a:ext cx="2219325" cy="1666875"/>
                    </a:xfrm>
                    <a:prstGeom prst="rect">
                      <a:avLst/>
                    </a:prstGeom>
                    <a:noFill/>
                    <a:ln w="9525">
                      <a:noFill/>
                      <a:miter lim="800000"/>
                      <a:headEnd/>
                      <a:tailEnd/>
                    </a:ln>
                  </pic:spPr>
                </pic:pic>
              </a:graphicData>
            </a:graphic>
          </wp:inline>
        </w:drawing>
      </w:r>
      <w:r w:rsidR="00C20F1C">
        <w:tab/>
      </w:r>
    </w:p>
    <w:p w:rsidR="00AA6A52" w:rsidRDefault="00C20F1C">
      <w:pPr>
        <w:pStyle w:val="Heading2"/>
        <w:spacing w:line="360" w:lineRule="auto"/>
        <w:jc w:val="left"/>
        <w:rPr>
          <w:rFonts w:ascii="Times New Roman" w:hAnsi="Times New Roman" w:cs="Times New Roman"/>
          <w:sz w:val="20"/>
          <w:szCs w:val="20"/>
        </w:rPr>
      </w:pPr>
      <w:r>
        <w:rPr>
          <w:rFonts w:ascii="Times New Roman" w:hAnsi="Times New Roman" w:cs="Times New Roman"/>
          <w:sz w:val="20"/>
          <w:szCs w:val="20"/>
        </w:rPr>
        <w:t>Fig. 3 – Stairwell in Shaw Road P.G.</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Fig. 4 – </w:t>
      </w:r>
      <w:r w:rsidR="0013475C">
        <w:rPr>
          <w:rFonts w:ascii="Times New Roman" w:hAnsi="Times New Roman" w:cs="Times New Roman"/>
          <w:sz w:val="20"/>
          <w:szCs w:val="20"/>
        </w:rPr>
        <w:t>CRD Control Location</w:t>
      </w:r>
    </w:p>
    <w:p w:rsidR="0013475C" w:rsidRDefault="009D0986" w:rsidP="0013475C">
      <w:pPr>
        <w:pStyle w:val="BodyText"/>
      </w:pPr>
      <w:r>
        <w:rPr>
          <w:noProof/>
          <w:lang w:eastAsia="en-US" w:bidi="ar-SA"/>
        </w:rPr>
        <w:drawing>
          <wp:inline distT="0" distB="0" distL="0" distR="0">
            <wp:extent cx="2314575" cy="1752600"/>
            <wp:effectExtent l="19050" t="0" r="9525" b="0"/>
            <wp:docPr id="5" name="Picture 5" descr="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cation"/>
                    <pic:cNvPicPr>
                      <a:picLocks noChangeAspect="1" noChangeArrowheads="1"/>
                    </pic:cNvPicPr>
                  </pic:nvPicPr>
                  <pic:blipFill>
                    <a:blip r:embed="rId12" cstate="print"/>
                    <a:srcRect/>
                    <a:stretch>
                      <a:fillRect/>
                    </a:stretch>
                  </pic:blipFill>
                  <pic:spPr bwMode="auto">
                    <a:xfrm>
                      <a:off x="0" y="0"/>
                      <a:ext cx="2314575" cy="1752600"/>
                    </a:xfrm>
                    <a:prstGeom prst="rect">
                      <a:avLst/>
                    </a:prstGeom>
                    <a:noFill/>
                    <a:ln w="9525">
                      <a:noFill/>
                      <a:miter lim="800000"/>
                      <a:headEnd/>
                      <a:tailEnd/>
                    </a:ln>
                  </pic:spPr>
                </pic:pic>
              </a:graphicData>
            </a:graphic>
          </wp:inline>
        </w:drawing>
      </w:r>
      <w:r w:rsidR="0013475C">
        <w:tab/>
      </w:r>
      <w:r w:rsidR="0013475C">
        <w:tab/>
      </w:r>
      <w:r w:rsidR="0013475C">
        <w:tab/>
      </w:r>
      <w:r>
        <w:rPr>
          <w:noProof/>
          <w:lang w:eastAsia="en-US" w:bidi="ar-SA"/>
        </w:rPr>
        <w:drawing>
          <wp:inline distT="0" distB="0" distL="0" distR="0">
            <wp:extent cx="2247900" cy="1685925"/>
            <wp:effectExtent l="19050" t="0" r="0" b="0"/>
            <wp:docPr id="6" name="Picture 6" descr="loc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cation 2"/>
                    <pic:cNvPicPr>
                      <a:picLocks noChangeAspect="1" noChangeArrowheads="1"/>
                    </pic:cNvPicPr>
                  </pic:nvPicPr>
                  <pic:blipFill>
                    <a:blip r:embed="rId13" cstate="print"/>
                    <a:srcRect/>
                    <a:stretch>
                      <a:fillRect/>
                    </a:stretch>
                  </pic:blipFill>
                  <pic:spPr bwMode="auto">
                    <a:xfrm>
                      <a:off x="0" y="0"/>
                      <a:ext cx="2247900" cy="1685925"/>
                    </a:xfrm>
                    <a:prstGeom prst="rect">
                      <a:avLst/>
                    </a:prstGeom>
                    <a:noFill/>
                    <a:ln w="9525">
                      <a:noFill/>
                      <a:miter lim="800000"/>
                      <a:headEnd/>
                      <a:tailEnd/>
                    </a:ln>
                  </pic:spPr>
                </pic:pic>
              </a:graphicData>
            </a:graphic>
          </wp:inline>
        </w:drawing>
      </w:r>
    </w:p>
    <w:p w:rsidR="0013475C" w:rsidRDefault="0013475C" w:rsidP="0013475C">
      <w:pPr>
        <w:pStyle w:val="BodyText"/>
      </w:pPr>
      <w:r>
        <w:t>Fig. 5 – CRD Background Location</w:t>
      </w:r>
      <w:r>
        <w:tab/>
      </w:r>
      <w:r>
        <w:tab/>
      </w:r>
      <w:r>
        <w:tab/>
      </w:r>
      <w:r>
        <w:tab/>
      </w:r>
      <w:r>
        <w:tab/>
        <w:t>Fig. 6 – CRD Location – Level 7</w:t>
      </w:r>
    </w:p>
    <w:p w:rsidR="0013475C" w:rsidRDefault="0013475C" w:rsidP="0013475C">
      <w:pPr>
        <w:pStyle w:val="BodyText"/>
      </w:pPr>
    </w:p>
    <w:p w:rsidR="0013475C" w:rsidRDefault="009D0986" w:rsidP="0013475C">
      <w:pPr>
        <w:pStyle w:val="BodyText"/>
        <w:jc w:val="center"/>
      </w:pPr>
      <w:r>
        <w:rPr>
          <w:noProof/>
          <w:lang w:eastAsia="en-US" w:bidi="ar-SA"/>
        </w:rPr>
        <w:drawing>
          <wp:inline distT="0" distB="0" distL="0" distR="0">
            <wp:extent cx="2524125" cy="1752600"/>
            <wp:effectExtent l="19050" t="0" r="9525" b="0"/>
            <wp:docPr id="7" name="Picture 7" descr="loca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cation 3"/>
                    <pic:cNvPicPr>
                      <a:picLocks noChangeAspect="1" noChangeArrowheads="1"/>
                    </pic:cNvPicPr>
                  </pic:nvPicPr>
                  <pic:blipFill>
                    <a:blip r:embed="rId14" cstate="print"/>
                    <a:srcRect/>
                    <a:stretch>
                      <a:fillRect/>
                    </a:stretch>
                  </pic:blipFill>
                  <pic:spPr bwMode="auto">
                    <a:xfrm>
                      <a:off x="0" y="0"/>
                      <a:ext cx="2524125" cy="1752600"/>
                    </a:xfrm>
                    <a:prstGeom prst="rect">
                      <a:avLst/>
                    </a:prstGeom>
                    <a:noFill/>
                    <a:ln w="9525">
                      <a:noFill/>
                      <a:miter lim="800000"/>
                      <a:headEnd/>
                      <a:tailEnd/>
                    </a:ln>
                  </pic:spPr>
                </pic:pic>
              </a:graphicData>
            </a:graphic>
          </wp:inline>
        </w:drawing>
      </w:r>
    </w:p>
    <w:p w:rsidR="0013475C" w:rsidRPr="0013475C" w:rsidRDefault="0013475C" w:rsidP="0013475C">
      <w:pPr>
        <w:pStyle w:val="BodyText"/>
        <w:jc w:val="center"/>
      </w:pPr>
      <w:r>
        <w:t>Fig. 7 – CRD Location – Level 1</w:t>
      </w:r>
    </w:p>
    <w:sectPr w:rsidR="0013475C" w:rsidRPr="0013475C">
      <w:headerReference w:type="default" r:id="rId15"/>
      <w:footerReference w:type="even" r:id="rId16"/>
      <w:footerReference w:type="default" r:id="rId17"/>
      <w:headerReference w:type="first" r:id="rId18"/>
      <w:footerReference w:type="first" r:id="rId19"/>
      <w:pgSz w:w="12240" w:h="15840"/>
      <w:pgMar w:top="777" w:right="1440" w:bottom="720" w:left="1440" w:header="720" w:footer="720" w:gutter="0"/>
      <w:cols w:space="72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361" w:rsidRDefault="005C6361">
      <w:r>
        <w:separator/>
      </w:r>
    </w:p>
  </w:endnote>
  <w:endnote w:type="continuationSeparator" w:id="0">
    <w:p w:rsidR="005C6361" w:rsidRDefault="005C6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Zen Hei">
    <w:altName w:val="MS Mincho"/>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Palatino">
    <w:altName w:val="Book Antiqua"/>
    <w:charset w:val="00"/>
    <w:family w:val="auto"/>
    <w:pitch w:val="variable"/>
    <w:sig w:usb0="00000003" w:usb1="00000000" w:usb2="00000000" w:usb3="00000000" w:csb0="00000001" w:csb1="00000000"/>
  </w:font>
  <w:font w:name="Liberation Sans">
    <w:altName w:val="Arial"/>
    <w:charset w:val="8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C" w:rsidRDefault="00C20F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C" w:rsidRDefault="00C20F1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C" w:rsidRDefault="00C20F1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361" w:rsidRDefault="005C6361">
      <w:r>
        <w:separator/>
      </w:r>
    </w:p>
  </w:footnote>
  <w:footnote w:type="continuationSeparator" w:id="0">
    <w:p w:rsidR="005C6361" w:rsidRDefault="005C6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C" w:rsidRDefault="00C20F1C">
    <w:pPr>
      <w:pStyle w:val="Header"/>
      <w:rPr>
        <w:rFonts w:ascii="Times New Roman" w:hAnsi="Times New Roman"/>
      </w:rPr>
    </w:pPr>
    <w:r>
      <w:rPr>
        <w:rFonts w:ascii="Times New Roman" w:hAnsi="Times New Roman"/>
      </w:rPr>
      <w:t xml:space="preserve">PAN PAC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F1C" w:rsidRDefault="00C20F1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9277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3">
    <w:nsid w:val="00000003"/>
    <w:multiLevelType w:val="multilevel"/>
    <w:tmpl w:val="00000003"/>
    <w:name w:val="WWNum6"/>
    <w:lvl w:ilvl="0">
      <w:start w:val="1"/>
      <w:numFmt w:val="upperRoman"/>
      <w:lvlText w:val="%1."/>
      <w:lvlJc w:val="left"/>
      <w:pPr>
        <w:tabs>
          <w:tab w:val="num" w:pos="540"/>
        </w:tabs>
        <w:ind w:left="540" w:hanging="18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9412FA6"/>
    <w:multiLevelType w:val="hybridMultilevel"/>
    <w:tmpl w:val="5254F5C2"/>
    <w:lvl w:ilvl="0" w:tplc="CBD2BB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9D545B"/>
    <w:multiLevelType w:val="hybridMultilevel"/>
    <w:tmpl w:val="B11ACFFC"/>
    <w:lvl w:ilvl="0" w:tplc="778EE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BF47F4"/>
    <w:multiLevelType w:val="hybridMultilevel"/>
    <w:tmpl w:val="ACCEEC44"/>
    <w:lvl w:ilvl="0" w:tplc="7EB8D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84A7447"/>
    <w:multiLevelType w:val="hybridMultilevel"/>
    <w:tmpl w:val="0B284C4A"/>
    <w:lvl w:ilvl="0" w:tplc="14E86B4E">
      <w:start w:val="1"/>
      <w:numFmt w:val="bullet"/>
      <w:lvlText w:val=""/>
      <w:lvlJc w:val="left"/>
      <w:pPr>
        <w:ind w:left="2160" w:hanging="360"/>
      </w:pPr>
      <w:rPr>
        <w:rFonts w:ascii="Symbol" w:eastAsia="WenQuanYi Zen Hei" w:hAnsi="Symbol" w:cs="FreeSan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B18219C"/>
    <w:multiLevelType w:val="hybridMultilevel"/>
    <w:tmpl w:val="9ADA0878"/>
    <w:lvl w:ilvl="0" w:tplc="B68CD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 w:numId="5">
    <w:abstractNumId w:val="5"/>
  </w:num>
  <w:num w:numId="6">
    <w:abstractNumId w:val="7"/>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
  <w:rsids>
    <w:rsidRoot w:val="00357215"/>
    <w:rsid w:val="0013475C"/>
    <w:rsid w:val="00211BE6"/>
    <w:rsid w:val="00357215"/>
    <w:rsid w:val="00387EFC"/>
    <w:rsid w:val="003D2079"/>
    <w:rsid w:val="00591133"/>
    <w:rsid w:val="005C6361"/>
    <w:rsid w:val="006430D3"/>
    <w:rsid w:val="00686727"/>
    <w:rsid w:val="007B65EA"/>
    <w:rsid w:val="008F2303"/>
    <w:rsid w:val="00906DF0"/>
    <w:rsid w:val="009D0986"/>
    <w:rsid w:val="00AA6A52"/>
    <w:rsid w:val="00B46334"/>
    <w:rsid w:val="00C20F1C"/>
    <w:rsid w:val="00D01FA9"/>
    <w:rsid w:val="00EF6B77"/>
    <w:rsid w:val="00F72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rebuchet MS" w:eastAsia="WenQuanYi Zen Hei" w:hAnsi="Trebuchet MS" w:cs="FreeSans"/>
      <w:kern w:val="1"/>
      <w:sz w:val="24"/>
      <w:szCs w:val="24"/>
      <w:lang w:eastAsia="hi-IN" w:bidi="hi-IN"/>
    </w:rPr>
  </w:style>
  <w:style w:type="paragraph" w:styleId="Heading1">
    <w:name w:val="heading 1"/>
    <w:basedOn w:val="Normal"/>
    <w:next w:val="BodyText"/>
    <w:qFormat/>
    <w:pPr>
      <w:keepNext/>
      <w:tabs>
        <w:tab w:val="left" w:pos="3690"/>
        <w:tab w:val="left" w:pos="7830"/>
        <w:tab w:val="left" w:pos="8730"/>
      </w:tabs>
      <w:outlineLvl w:val="0"/>
    </w:pPr>
    <w:rPr>
      <w:rFonts w:ascii="Times New Roman" w:hAnsi="Times New Roman"/>
      <w:sz w:val="20"/>
      <w:u w:val="single"/>
    </w:rPr>
  </w:style>
  <w:style w:type="paragraph" w:styleId="Heading2">
    <w:name w:val="heading 2"/>
    <w:basedOn w:val="Normal"/>
    <w:next w:val="BodyText"/>
    <w:qFormat/>
    <w:pPr>
      <w:numPr>
        <w:ilvl w:val="1"/>
        <w:numId w:val="1"/>
      </w:numPr>
      <w:spacing w:before="28" w:after="240"/>
      <w:jc w:val="center"/>
      <w:outlineLvl w:val="1"/>
    </w:pPr>
    <w:rPr>
      <w:rFonts w:ascii="Palatino" w:eastAsia="Times New Roman" w:hAnsi="Palatino"/>
      <w:bCs/>
      <w:sz w:val="32"/>
      <w:szCs w:val="36"/>
    </w:rPr>
  </w:style>
  <w:style w:type="paragraph" w:styleId="Heading3">
    <w:name w:val="heading 3"/>
    <w:basedOn w:val="Normal"/>
    <w:next w:val="BodyText"/>
    <w:qFormat/>
    <w:pPr>
      <w:keepNext/>
      <w:numPr>
        <w:ilvl w:val="2"/>
        <w:numId w:val="1"/>
      </w:numPr>
      <w:spacing w:before="240" w:after="240"/>
      <w:outlineLvl w:val="2"/>
    </w:pPr>
    <w:rPr>
      <w:rFonts w:ascii="Times New Roman" w:hAnsi="Times New Roman"/>
      <w:sz w:val="28"/>
    </w:rPr>
  </w:style>
  <w:style w:type="paragraph" w:styleId="Heading4">
    <w:name w:val="heading 4"/>
    <w:basedOn w:val="Normal"/>
    <w:next w:val="BodyText"/>
    <w:qFormat/>
    <w:pPr>
      <w:keepNext/>
      <w:numPr>
        <w:ilvl w:val="3"/>
        <w:numId w:val="1"/>
      </w:numPr>
      <w:tabs>
        <w:tab w:val="left" w:pos="720"/>
        <w:tab w:val="left" w:pos="2160"/>
        <w:tab w:val="left" w:pos="3600"/>
        <w:tab w:val="left" w:pos="5760"/>
        <w:tab w:val="right" w:pos="10530"/>
      </w:tabs>
      <w:outlineLvl w:val="3"/>
    </w:pPr>
    <w:rPr>
      <w:rFonts w:ascii="Times New Roman" w:hAnsi="Times New Roman"/>
      <w:b/>
      <w:bCs/>
    </w:rPr>
  </w:style>
  <w:style w:type="paragraph" w:styleId="Heading5">
    <w:name w:val="heading 5"/>
    <w:basedOn w:val="Normal"/>
    <w:next w:val="BodyText"/>
    <w:qFormat/>
    <w:pPr>
      <w:keepNext/>
      <w:numPr>
        <w:ilvl w:val="4"/>
        <w:numId w:val="1"/>
      </w:numPr>
      <w:tabs>
        <w:tab w:val="left" w:pos="720"/>
        <w:tab w:val="left" w:pos="2160"/>
        <w:tab w:val="left" w:pos="3600"/>
        <w:tab w:val="left" w:pos="5760"/>
        <w:tab w:val="right" w:pos="10530"/>
      </w:tabs>
      <w:outlineLvl w:val="4"/>
    </w:pPr>
    <w:rPr>
      <w:rFonts w:ascii="Times New Roman" w:hAnsi="Times New Roman"/>
      <w:b/>
      <w:bCs/>
      <w:sz w:val="20"/>
    </w:rPr>
  </w:style>
  <w:style w:type="paragraph" w:styleId="Heading6">
    <w:name w:val="heading 6"/>
    <w:basedOn w:val="Normal"/>
    <w:next w:val="BodyText"/>
    <w:qFormat/>
    <w:pPr>
      <w:keepNext/>
      <w:numPr>
        <w:ilvl w:val="5"/>
        <w:numId w:val="1"/>
      </w:numPr>
      <w:tabs>
        <w:tab w:val="left" w:pos="720"/>
        <w:tab w:val="left" w:pos="2160"/>
        <w:tab w:val="left" w:pos="2880"/>
        <w:tab w:val="left" w:pos="5760"/>
        <w:tab w:val="right" w:pos="10530"/>
      </w:tabs>
      <w:outlineLvl w:val="5"/>
    </w:pPr>
    <w:rPr>
      <w:rFonts w:ascii="Times New Roman" w:hAnsi="Times New Roman"/>
      <w:b/>
      <w:bCs/>
      <w:sz w:val="28"/>
    </w:rPr>
  </w:style>
  <w:style w:type="paragraph" w:styleId="Heading7">
    <w:name w:val="heading 7"/>
    <w:basedOn w:val="Normal"/>
    <w:next w:val="BodyText"/>
    <w:qFormat/>
    <w:pPr>
      <w:keepNext/>
      <w:numPr>
        <w:ilvl w:val="6"/>
        <w:numId w:val="1"/>
      </w:numPr>
      <w:tabs>
        <w:tab w:val="center" w:pos="8910"/>
        <w:tab w:val="center" w:pos="10080"/>
      </w:tabs>
      <w:jc w:val="both"/>
      <w:outlineLvl w:val="6"/>
    </w:pPr>
    <w:rPr>
      <w:rFonts w:ascii="Times New Roman" w:hAnsi="Times New Roman"/>
      <w:b/>
      <w:bCs/>
      <w:sz w:val="20"/>
    </w:rPr>
  </w:style>
  <w:style w:type="paragraph" w:styleId="Heading8">
    <w:name w:val="heading 8"/>
    <w:basedOn w:val="Normal"/>
    <w:next w:val="BodyText"/>
    <w:qFormat/>
    <w:pPr>
      <w:keepNext/>
      <w:numPr>
        <w:ilvl w:val="7"/>
        <w:numId w:val="1"/>
      </w:numPr>
      <w:jc w:val="center"/>
      <w:outlineLvl w:val="7"/>
    </w:pPr>
    <w:rPr>
      <w:rFonts w:ascii="Times New Roman" w:hAnsi="Times New Roman"/>
      <w:b/>
      <w:bCs/>
      <w:sz w:val="20"/>
    </w:rPr>
  </w:style>
  <w:style w:type="paragraph" w:styleId="Heading9">
    <w:name w:val="heading 9"/>
    <w:basedOn w:val="Normal"/>
    <w:next w:val="BodyText"/>
    <w:qFormat/>
    <w:pPr>
      <w:keepNext/>
      <w:numPr>
        <w:ilvl w:val="8"/>
        <w:numId w:val="1"/>
      </w:numPr>
      <w:jc w:val="center"/>
      <w:outlineLvl w:val="8"/>
    </w:pPr>
    <w:rPr>
      <w:rFonts w:ascii="Times New Roman" w:hAnsi="Times New Roman"/>
      <w:sz w:val="32"/>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lang/>
    </w:rPr>
  </w:style>
  <w:style w:type="character" w:styleId="Strong">
    <w:name w:val="Strong"/>
    <w:qFormat/>
    <w:rPr>
      <w:b/>
      <w:bCs/>
    </w:rPr>
  </w:style>
  <w:style w:type="character" w:styleId="FollowedHyperlink">
    <w:name w:val="FollowedHyperlink"/>
    <w:rPr>
      <w:color w:val="800080"/>
      <w:u w:val="single"/>
    </w:rPr>
  </w:style>
  <w:style w:type="character" w:customStyle="1" w:styleId="footnotereference">
    <w:name w:val="footnote reference"/>
    <w:rPr>
      <w:vertAlign w:val="superscript"/>
    </w:rPr>
  </w:style>
  <w:style w:type="character" w:customStyle="1" w:styleId="annotationreference">
    <w:name w:val="annotation reference"/>
    <w:rPr>
      <w:sz w:val="16"/>
      <w:szCs w:val="16"/>
    </w:rPr>
  </w:style>
  <w:style w:type="character" w:customStyle="1" w:styleId="CommentTextChar">
    <w:name w:val="Comment Text Char"/>
    <w:rPr>
      <w:rFonts w:ascii="Trebuchet MS" w:hAnsi="Trebuchet MS"/>
    </w:rPr>
  </w:style>
  <w:style w:type="character" w:customStyle="1" w:styleId="CommentSubjectChar">
    <w:name w:val="Comment Subject Char"/>
    <w:rPr>
      <w:rFonts w:ascii="Trebuchet MS" w:hAnsi="Trebuchet MS"/>
      <w:b/>
      <w:bCs/>
    </w:rPr>
  </w:style>
  <w:style w:type="character" w:customStyle="1" w:styleId="Heading2Char">
    <w:name w:val="Heading 2 Char"/>
    <w:rPr>
      <w:rFonts w:ascii="Palatino" w:eastAsia="Times New Roman" w:hAnsi="Palatino"/>
      <w:bCs/>
      <w:sz w:val="32"/>
      <w:szCs w:val="36"/>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rPr>
      <w:rFonts w:ascii="Times New Roman" w:hAnsi="Times New Roman"/>
      <w:sz w:val="20"/>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Indent">
    <w:name w:val="Body Text Indent"/>
    <w:basedOn w:val="Normal"/>
    <w:pPr>
      <w:ind w:left="5040" w:hanging="5130"/>
    </w:pPr>
    <w:rPr>
      <w:rFonts w:ascii="Times New Roman" w:hAnsi="Times New Roman"/>
      <w:sz w:val="20"/>
    </w:rPr>
  </w:style>
  <w:style w:type="paragraph" w:styleId="BodyTextIndent2">
    <w:name w:val="Body Text Indent 2"/>
    <w:basedOn w:val="Normal"/>
    <w:pPr>
      <w:ind w:left="270" w:hanging="270"/>
    </w:pPr>
    <w:rPr>
      <w:rFonts w:ascii="Times New Roman" w:hAnsi="Times New Roman"/>
      <w:sz w:val="20"/>
    </w:rPr>
  </w:style>
  <w:style w:type="paragraph" w:customStyle="1" w:styleId="HTMLTopofForm">
    <w:name w:val="HTML Top of Form"/>
    <w:basedOn w:val="Normal"/>
    <w:pPr>
      <w:pBdr>
        <w:bottom w:val="single" w:sz="6" w:space="1" w:color="000000"/>
      </w:pBdr>
      <w:jc w:val="center"/>
    </w:pPr>
    <w:rPr>
      <w:rFonts w:ascii="Arial" w:hAnsi="Arial" w:cs="Arial"/>
      <w:vanish/>
      <w:sz w:val="16"/>
      <w:szCs w:val="16"/>
    </w:rPr>
  </w:style>
  <w:style w:type="paragraph" w:customStyle="1" w:styleId="HTMLBottomofForm">
    <w:name w:val="HTML Bottom of Form"/>
    <w:basedOn w:val="Normal"/>
    <w:pPr>
      <w:pBdr>
        <w:top w:val="single" w:sz="6" w:space="1" w:color="000000"/>
      </w:pBdr>
      <w:jc w:val="center"/>
    </w:pPr>
    <w:rPr>
      <w:rFonts w:ascii="Arial" w:hAnsi="Arial" w:cs="Arial"/>
      <w:vanish/>
      <w:sz w:val="16"/>
      <w:szCs w:val="16"/>
    </w:rPr>
  </w:style>
  <w:style w:type="paragraph" w:styleId="NormalWeb">
    <w:name w:val="Normal (Web)"/>
    <w:basedOn w:val="Normal"/>
    <w:pPr>
      <w:spacing w:before="28" w:after="28"/>
    </w:pPr>
    <w:rPr>
      <w:rFonts w:ascii="Times New Roman" w:eastAsia="Times New Roman" w:hAnsi="Times New Roman"/>
    </w:rPr>
  </w:style>
  <w:style w:type="paragraph" w:customStyle="1" w:styleId="caption0">
    <w:name w:val="caption"/>
    <w:basedOn w:val="Normal"/>
    <w:rPr>
      <w:b/>
      <w:bCs/>
    </w:rPr>
  </w:style>
  <w:style w:type="paragraph" w:styleId="Title">
    <w:name w:val="Title"/>
    <w:basedOn w:val="Normal"/>
    <w:next w:val="Subtitle"/>
    <w:qFormat/>
    <w:pPr>
      <w:ind w:left="-450"/>
      <w:jc w:val="center"/>
    </w:pPr>
    <w:rPr>
      <w:rFonts w:ascii="Times New Roman" w:hAnsi="Times New Roman"/>
      <w:b/>
      <w:bCs/>
      <w:sz w:val="22"/>
      <w:szCs w:val="36"/>
    </w:rPr>
  </w:style>
  <w:style w:type="paragraph" w:styleId="Subtitle">
    <w:name w:val="Subtitle"/>
    <w:basedOn w:val="Heading"/>
    <w:next w:val="BodyText"/>
    <w:qFormat/>
    <w:pPr>
      <w:jc w:val="center"/>
    </w:pPr>
    <w:rPr>
      <w:i/>
      <w:iCs/>
    </w:rPr>
  </w:style>
  <w:style w:type="paragraph" w:styleId="BodyText2">
    <w:name w:val="Body Text 2"/>
    <w:basedOn w:val="Normal"/>
    <w:pPr>
      <w:ind w:right="900"/>
    </w:pPr>
    <w:rPr>
      <w:rFonts w:ascii="Arial" w:eastAsia="Times New Roman" w:hAnsi="Arial" w:cs="Arial"/>
    </w:rPr>
  </w:style>
  <w:style w:type="paragraph" w:customStyle="1" w:styleId="footnotetext">
    <w:name w:val="footnote text"/>
    <w:basedOn w:val="Normal"/>
    <w:rPr>
      <w:sz w:val="20"/>
    </w:rPr>
  </w:style>
  <w:style w:type="paragraph" w:styleId="BodyText3">
    <w:name w:val="Body Text 3"/>
    <w:basedOn w:val="Normal"/>
    <w:pPr>
      <w:jc w:val="both"/>
    </w:pPr>
    <w:rPr>
      <w:rFonts w:ascii="Times New Roman" w:hAnsi="Times New Roman"/>
      <w:sz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BalloonText">
    <w:name w:val="Balloon Text"/>
    <w:basedOn w:val="Normal"/>
    <w:rPr>
      <w:rFonts w:ascii="Tahoma" w:hAnsi="Tahoma" w:cs="Tahoma"/>
      <w:sz w:val="16"/>
      <w:szCs w:val="16"/>
    </w:rPr>
  </w:style>
  <w:style w:type="paragraph" w:customStyle="1" w:styleId="annotationtext">
    <w:name w:val="annotation text"/>
    <w:basedOn w:val="Normal"/>
    <w:rPr>
      <w:sz w:val="20"/>
    </w:rPr>
  </w:style>
  <w:style w:type="paragraph" w:customStyle="1" w:styleId="annotationsubject">
    <w:name w:val="annotation subject"/>
    <w:basedOn w:val="annotationtext"/>
    <w:rPr>
      <w:b/>
      <w:bCs/>
    </w:rPr>
  </w:style>
  <w:style w:type="paragraph" w:styleId="ColorfulList-Accent1">
    <w:name w:val="Colorful List Accent 1"/>
    <w:basedOn w:val="Normal"/>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usel.org/"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PAC 31 Proposal Form</vt:lpstr>
    </vt:vector>
  </TitlesOfParts>
  <Company>NSCL</Company>
  <LinksUpToDate>false</LinksUpToDate>
  <CharactersWithSpaces>3427</CharactersWithSpaces>
  <SharedDoc>false</SharedDoc>
  <HLinks>
    <vt:vector size="42" baseType="variant">
      <vt:variant>
        <vt:i4>2162814</vt:i4>
      </vt:variant>
      <vt:variant>
        <vt:i4>2981</vt:i4>
      </vt:variant>
      <vt:variant>
        <vt:i4>1025</vt:i4>
      </vt:variant>
      <vt:variant>
        <vt:i4>1</vt:i4>
      </vt:variant>
      <vt:variant>
        <vt:lpwstr>parking garage</vt:lpwstr>
      </vt:variant>
      <vt:variant>
        <vt:lpwstr/>
      </vt:variant>
      <vt:variant>
        <vt:i4>1507366</vt:i4>
      </vt:variant>
      <vt:variant>
        <vt:i4>2986</vt:i4>
      </vt:variant>
      <vt:variant>
        <vt:i4>1026</vt:i4>
      </vt:variant>
      <vt:variant>
        <vt:i4>1</vt:i4>
      </vt:variant>
      <vt:variant>
        <vt:lpwstr>concrete wall</vt:lpwstr>
      </vt:variant>
      <vt:variant>
        <vt:lpwstr/>
      </vt:variant>
      <vt:variant>
        <vt:i4>7209056</vt:i4>
      </vt:variant>
      <vt:variant>
        <vt:i4>3067</vt:i4>
      </vt:variant>
      <vt:variant>
        <vt:i4>1027</vt:i4>
      </vt:variant>
      <vt:variant>
        <vt:i4>1</vt:i4>
      </vt:variant>
      <vt:variant>
        <vt:lpwstr>stairs</vt:lpwstr>
      </vt:variant>
      <vt:variant>
        <vt:lpwstr/>
      </vt:variant>
      <vt:variant>
        <vt:i4>3932212</vt:i4>
      </vt:variant>
      <vt:variant>
        <vt:i4>3072</vt:i4>
      </vt:variant>
      <vt:variant>
        <vt:i4>1028</vt:i4>
      </vt:variant>
      <vt:variant>
        <vt:i4>1</vt:i4>
      </vt:variant>
      <vt:variant>
        <vt:lpwstr>location 5</vt:lpwstr>
      </vt:variant>
      <vt:variant>
        <vt:lpwstr/>
      </vt:variant>
      <vt:variant>
        <vt:i4>589844</vt:i4>
      </vt:variant>
      <vt:variant>
        <vt:i4>3145</vt:i4>
      </vt:variant>
      <vt:variant>
        <vt:i4>1029</vt:i4>
      </vt:variant>
      <vt:variant>
        <vt:i4>1</vt:i4>
      </vt:variant>
      <vt:variant>
        <vt:lpwstr>location</vt:lpwstr>
      </vt:variant>
      <vt:variant>
        <vt:lpwstr/>
      </vt:variant>
      <vt:variant>
        <vt:i4>3866676</vt:i4>
      </vt:variant>
      <vt:variant>
        <vt:i4>3149</vt:i4>
      </vt:variant>
      <vt:variant>
        <vt:i4>1030</vt:i4>
      </vt:variant>
      <vt:variant>
        <vt:i4>1</vt:i4>
      </vt:variant>
      <vt:variant>
        <vt:lpwstr>location 2</vt:lpwstr>
      </vt:variant>
      <vt:variant>
        <vt:lpwstr/>
      </vt:variant>
      <vt:variant>
        <vt:i4>3801140</vt:i4>
      </vt:variant>
      <vt:variant>
        <vt:i4>3221</vt:i4>
      </vt:variant>
      <vt:variant>
        <vt:i4>1031</vt:i4>
      </vt:variant>
      <vt:variant>
        <vt:i4>1</vt:i4>
      </vt:variant>
      <vt:variant>
        <vt:lpwstr>location 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 31 Proposal Form</dc:title>
  <dc:creator>National Superconducting Cyclotron Laboratory</dc:creator>
  <cp:lastModifiedBy>administrator</cp:lastModifiedBy>
  <cp:revision>2</cp:revision>
  <cp:lastPrinted>2012-01-26T19:33:00Z</cp:lastPrinted>
  <dcterms:created xsi:type="dcterms:W3CDTF">2012-07-31T20:27:00Z</dcterms:created>
  <dcterms:modified xsi:type="dcterms:W3CDTF">2012-07-31T20:27:00Z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Michigan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